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5F" w:rsidRPr="002C2F94" w:rsidRDefault="004A5E5F">
      <w:pPr>
        <w:spacing w:line="360" w:lineRule="exact"/>
        <w:jc w:val="both"/>
        <w:rPr>
          <w:rFonts w:eastAsia="標楷體"/>
          <w:color w:val="FF0000"/>
          <w:spacing w:val="-4"/>
          <w:sz w:val="28"/>
        </w:rPr>
      </w:pPr>
    </w:p>
    <w:p w:rsidR="004A5E5F" w:rsidRDefault="004A5E5F">
      <w:pPr>
        <w:spacing w:line="360" w:lineRule="exact"/>
        <w:jc w:val="center"/>
        <w:rPr>
          <w:rFonts w:eastAsia="標楷體"/>
          <w:b/>
          <w:bCs/>
          <w:color w:val="0000FF"/>
          <w:spacing w:val="-4"/>
          <w:sz w:val="32"/>
        </w:rPr>
      </w:pPr>
      <w:r>
        <w:rPr>
          <w:rFonts w:eastAsia="標楷體" w:hint="eastAsia"/>
          <w:b/>
          <w:bCs/>
          <w:color w:val="0000FF"/>
          <w:spacing w:val="-4"/>
          <w:sz w:val="32"/>
        </w:rPr>
        <w:t>統計資料背景說明</w:t>
      </w:r>
    </w:p>
    <w:p w:rsidR="001E209A" w:rsidRDefault="001E209A" w:rsidP="001E209A">
      <w:pPr>
        <w:spacing w:line="360" w:lineRule="exact"/>
        <w:rPr>
          <w:rFonts w:ascii="標楷體" w:eastAsia="標楷體"/>
          <w:sz w:val="28"/>
        </w:rPr>
      </w:pPr>
      <w:r>
        <w:rPr>
          <w:rFonts w:ascii="標楷體" w:eastAsia="標楷體" w:hint="eastAsia"/>
          <w:sz w:val="28"/>
        </w:rPr>
        <w:t>資料種類：賦稅統計</w:t>
      </w:r>
    </w:p>
    <w:p w:rsidR="001E209A" w:rsidRPr="001A370F" w:rsidRDefault="001E209A" w:rsidP="001E209A">
      <w:pPr>
        <w:spacing w:line="360" w:lineRule="exact"/>
        <w:rPr>
          <w:rFonts w:ascii="標楷體" w:eastAsia="標楷體"/>
          <w:sz w:val="28"/>
        </w:rPr>
      </w:pPr>
      <w:r>
        <w:rPr>
          <w:rFonts w:ascii="標楷體" w:eastAsia="標楷體" w:hint="eastAsia"/>
          <w:sz w:val="28"/>
        </w:rPr>
        <w:t>資料項目：</w:t>
      </w:r>
      <w:r w:rsidRPr="00727279">
        <w:rPr>
          <w:rFonts w:ascii="標楷體" w:eastAsia="標楷體" w:hint="eastAsia"/>
          <w:sz w:val="28"/>
        </w:rPr>
        <w:t>嘉義市土地增值稅徵收</w:t>
      </w:r>
    </w:p>
    <w:p w:rsidR="001E209A" w:rsidRPr="001A370F" w:rsidRDefault="001E209A" w:rsidP="001E209A">
      <w:pPr>
        <w:spacing w:before="240" w:line="360" w:lineRule="exact"/>
        <w:ind w:left="616" w:hanging="616"/>
        <w:jc w:val="both"/>
        <w:rPr>
          <w:rFonts w:ascii="標楷體" w:eastAsia="標楷體"/>
          <w:b/>
          <w:bCs/>
          <w:color w:val="0000FF"/>
          <w:sz w:val="28"/>
        </w:rPr>
      </w:pPr>
      <w:r>
        <w:rPr>
          <w:rFonts w:ascii="標楷體" w:eastAsia="標楷體" w:hint="eastAsia"/>
          <w:b/>
          <w:bCs/>
          <w:color w:val="0000FF"/>
          <w:sz w:val="28"/>
        </w:rPr>
        <w:t>一、</w:t>
      </w:r>
      <w:r w:rsidRPr="001A370F">
        <w:rPr>
          <w:rFonts w:ascii="標楷體" w:eastAsia="標楷體" w:hint="eastAsia"/>
          <w:b/>
          <w:bCs/>
          <w:color w:val="0000FF"/>
          <w:sz w:val="28"/>
        </w:rPr>
        <w:t>發布及編製機關單位</w:t>
      </w:r>
    </w:p>
    <w:p w:rsidR="001E209A" w:rsidRDefault="001E209A" w:rsidP="001E209A">
      <w:pPr>
        <w:spacing w:line="360" w:lineRule="exact"/>
        <w:ind w:left="720" w:hanging="426"/>
        <w:jc w:val="both"/>
        <w:rPr>
          <w:rFonts w:eastAsia="標楷體"/>
          <w:spacing w:val="-4"/>
          <w:sz w:val="28"/>
        </w:rPr>
      </w:pPr>
      <w:r>
        <w:rPr>
          <w:rFonts w:eastAsia="標楷體" w:hint="eastAsia"/>
          <w:spacing w:val="-4"/>
          <w:sz w:val="28"/>
        </w:rPr>
        <w:t>＊發布機關、單位：嘉義市政府財政稅務局會計室</w:t>
      </w:r>
    </w:p>
    <w:p w:rsidR="001E209A" w:rsidRDefault="001E209A" w:rsidP="001E209A">
      <w:pPr>
        <w:spacing w:line="360" w:lineRule="exact"/>
        <w:ind w:left="720" w:hanging="426"/>
        <w:jc w:val="both"/>
        <w:rPr>
          <w:spacing w:val="-10"/>
        </w:rPr>
      </w:pPr>
      <w:r>
        <w:rPr>
          <w:rFonts w:eastAsia="標楷體" w:hint="eastAsia"/>
          <w:sz w:val="28"/>
        </w:rPr>
        <w:t>＊編製單位：</w:t>
      </w:r>
      <w:r>
        <w:rPr>
          <w:rFonts w:eastAsia="標楷體" w:hint="eastAsia"/>
          <w:spacing w:val="-4"/>
          <w:sz w:val="28"/>
        </w:rPr>
        <w:t>嘉義市政府財政稅務局土地稅科</w:t>
      </w:r>
    </w:p>
    <w:p w:rsidR="001E209A" w:rsidRDefault="001E209A" w:rsidP="001E209A">
      <w:pPr>
        <w:spacing w:line="360" w:lineRule="exact"/>
        <w:ind w:left="720" w:hanging="426"/>
        <w:jc w:val="both"/>
        <w:rPr>
          <w:rFonts w:eastAsia="標楷體"/>
          <w:sz w:val="28"/>
        </w:rPr>
      </w:pPr>
      <w:r>
        <w:rPr>
          <w:rFonts w:eastAsia="標楷體" w:hint="eastAsia"/>
          <w:sz w:val="28"/>
        </w:rPr>
        <w:t>＊聯絡電話：</w:t>
      </w:r>
      <w:r>
        <w:rPr>
          <w:rFonts w:eastAsia="標楷體" w:hint="eastAsia"/>
          <w:sz w:val="28"/>
        </w:rPr>
        <w:t>05-2224371</w:t>
      </w:r>
      <w:r>
        <w:rPr>
          <w:rFonts w:eastAsia="標楷體" w:hint="eastAsia"/>
          <w:sz w:val="28"/>
        </w:rPr>
        <w:t>轉</w:t>
      </w:r>
      <w:r>
        <w:rPr>
          <w:rFonts w:eastAsia="標楷體" w:hint="eastAsia"/>
          <w:sz w:val="28"/>
        </w:rPr>
        <w:t>307</w:t>
      </w:r>
    </w:p>
    <w:p w:rsidR="001E209A" w:rsidRDefault="001E209A" w:rsidP="001E209A">
      <w:pPr>
        <w:spacing w:line="360" w:lineRule="exact"/>
        <w:ind w:left="720" w:hanging="426"/>
        <w:jc w:val="both"/>
        <w:rPr>
          <w:rFonts w:eastAsia="標楷體"/>
          <w:sz w:val="28"/>
        </w:rPr>
      </w:pPr>
      <w:r>
        <w:rPr>
          <w:rFonts w:eastAsia="標楷體" w:hint="eastAsia"/>
          <w:sz w:val="28"/>
        </w:rPr>
        <w:t>＊傳真：</w:t>
      </w:r>
      <w:r>
        <w:rPr>
          <w:rFonts w:eastAsia="標楷體" w:hint="eastAsia"/>
          <w:sz w:val="28"/>
        </w:rPr>
        <w:t>05-2168043</w:t>
      </w:r>
    </w:p>
    <w:p w:rsidR="001E209A" w:rsidRDefault="001E209A" w:rsidP="001E209A">
      <w:pPr>
        <w:spacing w:line="360" w:lineRule="exact"/>
        <w:ind w:left="720" w:hanging="426"/>
        <w:jc w:val="both"/>
        <w:rPr>
          <w:rFonts w:eastAsia="標楷體"/>
          <w:sz w:val="28"/>
        </w:rPr>
      </w:pPr>
      <w:r>
        <w:rPr>
          <w:rFonts w:eastAsia="標楷體" w:hint="eastAsia"/>
          <w:sz w:val="28"/>
        </w:rPr>
        <w:t>＊電子信箱：</w:t>
      </w:r>
      <w:r>
        <w:rPr>
          <w:rFonts w:eastAsia="標楷體" w:hint="eastAsia"/>
          <w:sz w:val="28"/>
        </w:rPr>
        <w:t>acco@citax.gov.tw</w:t>
      </w:r>
    </w:p>
    <w:p w:rsidR="001E209A" w:rsidRPr="001A370F" w:rsidRDefault="001E209A" w:rsidP="001E209A">
      <w:pPr>
        <w:spacing w:before="240" w:line="360" w:lineRule="exact"/>
        <w:ind w:left="616" w:hanging="616"/>
        <w:jc w:val="both"/>
        <w:rPr>
          <w:rFonts w:ascii="標楷體" w:eastAsia="標楷體"/>
          <w:b/>
          <w:bCs/>
          <w:color w:val="0000FF"/>
          <w:sz w:val="28"/>
        </w:rPr>
      </w:pPr>
      <w:r w:rsidRPr="001A370F">
        <w:rPr>
          <w:rFonts w:ascii="標楷體" w:eastAsia="標楷體" w:hint="eastAsia"/>
          <w:b/>
          <w:bCs/>
          <w:color w:val="0000FF"/>
          <w:sz w:val="28"/>
        </w:rPr>
        <w:t>二、發布形式</w:t>
      </w:r>
    </w:p>
    <w:p w:rsidR="001E209A" w:rsidRDefault="001E209A" w:rsidP="001E209A">
      <w:pPr>
        <w:spacing w:line="360" w:lineRule="exact"/>
        <w:ind w:left="720" w:hanging="426"/>
        <w:jc w:val="both"/>
        <w:rPr>
          <w:rFonts w:eastAsia="標楷體"/>
          <w:sz w:val="28"/>
        </w:rPr>
      </w:pPr>
      <w:r>
        <w:rPr>
          <w:rFonts w:eastAsia="標楷體" w:hint="eastAsia"/>
          <w:sz w:val="28"/>
        </w:rPr>
        <w:t>＊口頭：</w:t>
      </w:r>
    </w:p>
    <w:p w:rsidR="001E209A" w:rsidRDefault="001E209A" w:rsidP="001E209A">
      <w:pPr>
        <w:spacing w:line="360" w:lineRule="exact"/>
        <w:ind w:left="966" w:right="-328" w:hanging="294"/>
        <w:rPr>
          <w:rFonts w:eastAsia="標楷體"/>
          <w:sz w:val="28"/>
        </w:rPr>
      </w:pPr>
      <w:r>
        <w:rPr>
          <w:rFonts w:eastAsia="標楷體" w:hint="eastAsia"/>
          <w:sz w:val="28"/>
        </w:rPr>
        <w:t>（</w:t>
      </w:r>
      <w:r>
        <w:rPr>
          <w:rFonts w:eastAsia="標楷體" w:hint="eastAsia"/>
          <w:sz w:val="28"/>
        </w:rPr>
        <w:t xml:space="preserve"> </w:t>
      </w:r>
      <w:r>
        <w:rPr>
          <w:rFonts w:eastAsia="標楷體" w:hint="eastAsia"/>
          <w:sz w:val="28"/>
        </w:rPr>
        <w:t>）記者會或說明會</w:t>
      </w:r>
    </w:p>
    <w:p w:rsidR="001E209A" w:rsidRDefault="001E209A" w:rsidP="001E209A">
      <w:pPr>
        <w:spacing w:line="360" w:lineRule="exact"/>
        <w:ind w:left="294"/>
        <w:jc w:val="both"/>
        <w:rPr>
          <w:rFonts w:eastAsia="標楷體"/>
          <w:sz w:val="28"/>
        </w:rPr>
      </w:pPr>
      <w:r>
        <w:rPr>
          <w:rFonts w:eastAsia="標楷體" w:hint="eastAsia"/>
          <w:sz w:val="28"/>
        </w:rPr>
        <w:t>＊書面：</w:t>
      </w:r>
    </w:p>
    <w:p w:rsidR="001E209A" w:rsidRDefault="001E209A" w:rsidP="001E209A">
      <w:pPr>
        <w:spacing w:line="360" w:lineRule="exact"/>
        <w:ind w:left="966" w:right="-328" w:hanging="294"/>
        <w:rPr>
          <w:rFonts w:eastAsia="標楷體"/>
          <w:sz w:val="28"/>
        </w:rPr>
      </w:pPr>
      <w:r>
        <w:rPr>
          <w:rFonts w:eastAsia="標楷體" w:hint="eastAsia"/>
          <w:sz w:val="28"/>
        </w:rPr>
        <w:t>（</w:t>
      </w:r>
      <w:r>
        <w:rPr>
          <w:rFonts w:eastAsia="標楷體"/>
          <w:sz w:val="28"/>
        </w:rPr>
        <w:t xml:space="preserve"> </w:t>
      </w:r>
      <w:r>
        <w:rPr>
          <w:rFonts w:eastAsia="標楷體" w:hint="eastAsia"/>
          <w:sz w:val="28"/>
        </w:rPr>
        <w:t>）新聞稿</w:t>
      </w:r>
      <w:r>
        <w:rPr>
          <w:rFonts w:eastAsia="標楷體"/>
          <w:sz w:val="28"/>
        </w:rPr>
        <w:tab/>
      </w:r>
      <w:r>
        <w:rPr>
          <w:rFonts w:eastAsia="標楷體"/>
          <w:sz w:val="28"/>
        </w:rPr>
        <w:tab/>
      </w:r>
      <w:r>
        <w:rPr>
          <w:rFonts w:eastAsia="標楷體" w:hint="eastAsia"/>
          <w:sz w:val="28"/>
        </w:rPr>
        <w:t>（</w:t>
      </w:r>
      <w:r w:rsidRPr="00B42881">
        <w:rPr>
          <w:rFonts w:eastAsia="標楷體"/>
          <w:sz w:val="28"/>
        </w:rPr>
        <w:t>V</w:t>
      </w:r>
      <w:r>
        <w:rPr>
          <w:rFonts w:eastAsia="標楷體" w:hint="eastAsia"/>
          <w:sz w:val="28"/>
        </w:rPr>
        <w:t>）報表</w:t>
      </w:r>
      <w:r>
        <w:rPr>
          <w:rFonts w:eastAsia="標楷體"/>
          <w:sz w:val="28"/>
        </w:rPr>
        <w:tab/>
      </w:r>
      <w:r>
        <w:rPr>
          <w:rFonts w:eastAsia="標楷體"/>
          <w:sz w:val="28"/>
        </w:rPr>
        <w:tab/>
      </w:r>
      <w:r>
        <w:rPr>
          <w:rFonts w:eastAsia="標楷體" w:hint="eastAsia"/>
          <w:sz w:val="28"/>
        </w:rPr>
        <w:t>（）書刊，刊名：</w:t>
      </w:r>
    </w:p>
    <w:p w:rsidR="001E209A" w:rsidRDefault="001E209A" w:rsidP="001E209A">
      <w:pPr>
        <w:spacing w:line="360" w:lineRule="exact"/>
        <w:ind w:left="294"/>
        <w:jc w:val="both"/>
        <w:rPr>
          <w:rFonts w:eastAsia="標楷體"/>
          <w:sz w:val="28"/>
        </w:rPr>
      </w:pPr>
      <w:r>
        <w:rPr>
          <w:rFonts w:eastAsia="標楷體" w:hint="eastAsia"/>
          <w:sz w:val="28"/>
        </w:rPr>
        <w:t>＊電子媒體：</w:t>
      </w:r>
    </w:p>
    <w:p w:rsidR="001E209A" w:rsidRPr="00483547" w:rsidRDefault="001E209A" w:rsidP="001E209A">
      <w:pPr>
        <w:spacing w:line="360" w:lineRule="exact"/>
        <w:ind w:left="966" w:right="-328" w:hanging="294"/>
        <w:rPr>
          <w:rFonts w:ascii="標楷體" w:eastAsia="標楷體" w:hAnsi="標楷體"/>
          <w:sz w:val="28"/>
          <w:szCs w:val="28"/>
        </w:rPr>
      </w:pPr>
      <w:r>
        <w:rPr>
          <w:rFonts w:eastAsia="標楷體" w:hint="eastAsia"/>
          <w:sz w:val="28"/>
        </w:rPr>
        <w:t>（</w:t>
      </w:r>
      <w:r>
        <w:rPr>
          <w:rFonts w:eastAsia="標楷體" w:hint="eastAsia"/>
          <w:sz w:val="28"/>
        </w:rPr>
        <w:t xml:space="preserve"> </w:t>
      </w:r>
      <w:r>
        <w:rPr>
          <w:rFonts w:eastAsia="標楷體" w:hint="eastAsia"/>
          <w:sz w:val="28"/>
        </w:rPr>
        <w:t>）線上書刊及資料庫，</w:t>
      </w:r>
      <w:r w:rsidRPr="00483547">
        <w:rPr>
          <w:rFonts w:ascii="標楷體" w:eastAsia="標楷體" w:hAnsi="標楷體"/>
          <w:color w:val="000000"/>
          <w:sz w:val="28"/>
          <w:szCs w:val="28"/>
        </w:rPr>
        <w:t>網址：</w:t>
      </w:r>
    </w:p>
    <w:p w:rsidR="001E209A" w:rsidRDefault="001E209A" w:rsidP="001E209A">
      <w:pPr>
        <w:spacing w:line="360" w:lineRule="exact"/>
        <w:ind w:left="966" w:right="-328" w:hanging="294"/>
        <w:jc w:val="both"/>
        <w:rPr>
          <w:rFonts w:eastAsia="標楷體"/>
          <w:sz w:val="28"/>
        </w:rPr>
      </w:pPr>
      <w:r>
        <w:rPr>
          <w:rFonts w:eastAsia="標楷體" w:hint="eastAsia"/>
          <w:sz w:val="28"/>
        </w:rPr>
        <w:t>（</w:t>
      </w:r>
      <w:r>
        <w:rPr>
          <w:rFonts w:eastAsia="標楷體"/>
          <w:sz w:val="28"/>
        </w:rPr>
        <w:t xml:space="preserve"> </w:t>
      </w:r>
      <w:r>
        <w:rPr>
          <w:rFonts w:eastAsia="標楷體" w:hint="eastAsia"/>
          <w:sz w:val="28"/>
        </w:rPr>
        <w:t>）磁片</w:t>
      </w:r>
      <w:r>
        <w:rPr>
          <w:rFonts w:eastAsia="標楷體"/>
          <w:sz w:val="28"/>
        </w:rPr>
        <w:tab/>
      </w:r>
      <w:r>
        <w:rPr>
          <w:rFonts w:eastAsia="標楷體"/>
          <w:sz w:val="28"/>
        </w:rPr>
        <w:tab/>
      </w:r>
      <w:r>
        <w:rPr>
          <w:rFonts w:eastAsia="標楷體" w:hint="eastAsia"/>
          <w:sz w:val="28"/>
        </w:rPr>
        <w:t>（</w:t>
      </w:r>
      <w:r>
        <w:rPr>
          <w:rFonts w:eastAsia="標楷體"/>
          <w:sz w:val="28"/>
        </w:rPr>
        <w:t xml:space="preserve"> </w:t>
      </w:r>
      <w:r>
        <w:rPr>
          <w:rFonts w:eastAsia="標楷體" w:hint="eastAsia"/>
          <w:sz w:val="28"/>
        </w:rPr>
        <w:t>）光碟片</w:t>
      </w:r>
      <w:r>
        <w:rPr>
          <w:rFonts w:eastAsia="標楷體"/>
          <w:sz w:val="28"/>
        </w:rPr>
        <w:tab/>
      </w:r>
      <w:r>
        <w:rPr>
          <w:rFonts w:eastAsia="標楷體" w:hint="eastAsia"/>
          <w:sz w:val="28"/>
        </w:rPr>
        <w:t>（</w:t>
      </w:r>
      <w:r>
        <w:rPr>
          <w:rFonts w:eastAsia="標楷體" w:hint="eastAsia"/>
          <w:sz w:val="28"/>
        </w:rPr>
        <w:t>V</w:t>
      </w:r>
      <w:r>
        <w:rPr>
          <w:rFonts w:eastAsia="標楷體" w:hint="eastAsia"/>
          <w:sz w:val="28"/>
        </w:rPr>
        <w:t>）其他</w:t>
      </w:r>
    </w:p>
    <w:p w:rsidR="004A5E5F" w:rsidRDefault="004A5E5F">
      <w:pPr>
        <w:spacing w:before="240" w:line="360" w:lineRule="exact"/>
        <w:ind w:left="616" w:hanging="616"/>
        <w:jc w:val="both"/>
        <w:rPr>
          <w:rFonts w:ascii="標楷體" w:eastAsia="標楷體"/>
          <w:b/>
          <w:bCs/>
          <w:color w:val="0000FF"/>
          <w:sz w:val="28"/>
        </w:rPr>
      </w:pPr>
      <w:r>
        <w:rPr>
          <w:rFonts w:ascii="標楷體" w:eastAsia="標楷體" w:hint="eastAsia"/>
          <w:b/>
          <w:bCs/>
          <w:color w:val="0000FF"/>
          <w:sz w:val="28"/>
        </w:rPr>
        <w:t>三、資料範圍、週期及時效</w:t>
      </w:r>
    </w:p>
    <w:p w:rsidR="00A513FC" w:rsidRPr="00A513FC" w:rsidRDefault="00A513FC" w:rsidP="00CC2DFE">
      <w:pPr>
        <w:spacing w:line="360" w:lineRule="exact"/>
        <w:ind w:leftChars="123" w:left="567" w:hangingChars="97" w:hanging="272"/>
        <w:jc w:val="both"/>
        <w:rPr>
          <w:rFonts w:ascii="標楷體" w:eastAsia="標楷體"/>
          <w:sz w:val="28"/>
        </w:rPr>
      </w:pPr>
      <w:r w:rsidRPr="006834A2">
        <w:rPr>
          <w:rFonts w:eastAsia="標楷體" w:hint="eastAsia"/>
          <w:sz w:val="28"/>
        </w:rPr>
        <w:t>＊統計地區範圍及對象：</w:t>
      </w:r>
      <w:r w:rsidR="00CC2DFE" w:rsidRPr="00CC2DFE">
        <w:rPr>
          <w:rFonts w:eastAsia="標楷體" w:hint="eastAsia"/>
          <w:sz w:val="28"/>
        </w:rPr>
        <w:t>凡轄區內已規定地價之土地，自然漲價部份，於土地移轉徵免土地增值稅之全部土地為統計對象。</w:t>
      </w:r>
    </w:p>
    <w:p w:rsidR="004A5E5F"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＊統計標準時間：</w:t>
      </w:r>
      <w:r w:rsidR="00727279" w:rsidRPr="00A513FC">
        <w:rPr>
          <w:rFonts w:eastAsia="標楷體" w:hint="eastAsia"/>
          <w:sz w:val="28"/>
        </w:rPr>
        <w:t>以每月</w:t>
      </w:r>
      <w:r w:rsidR="00727279" w:rsidRPr="00A513FC">
        <w:rPr>
          <w:rFonts w:eastAsia="標楷體" w:hint="eastAsia"/>
          <w:sz w:val="28"/>
        </w:rPr>
        <w:t>1</w:t>
      </w:r>
      <w:r w:rsidR="00727279" w:rsidRPr="00A513FC">
        <w:rPr>
          <w:rFonts w:eastAsia="標楷體" w:hint="eastAsia"/>
          <w:sz w:val="28"/>
        </w:rPr>
        <w:t>日至月底之事實為準</w:t>
      </w:r>
      <w:r w:rsidR="00CF645A" w:rsidRPr="00A513FC">
        <w:rPr>
          <w:rFonts w:eastAsia="標楷體" w:hint="eastAsia"/>
          <w:sz w:val="28"/>
        </w:rPr>
        <w:t>。</w:t>
      </w:r>
    </w:p>
    <w:p w:rsidR="004A5E5F" w:rsidRPr="00A513FC" w:rsidRDefault="00A513FC" w:rsidP="00A513FC">
      <w:pPr>
        <w:spacing w:line="360" w:lineRule="exact"/>
        <w:ind w:leftChars="123" w:left="567" w:hangingChars="97" w:hanging="272"/>
        <w:jc w:val="both"/>
        <w:rPr>
          <w:rFonts w:eastAsia="標楷體"/>
          <w:sz w:val="28"/>
        </w:rPr>
      </w:pPr>
      <w:r w:rsidRPr="00A513FC">
        <w:rPr>
          <w:rFonts w:eastAsia="標楷體" w:hint="eastAsia"/>
          <w:sz w:val="28"/>
        </w:rPr>
        <w:t>＊</w:t>
      </w:r>
      <w:r w:rsidR="004A5E5F" w:rsidRPr="00A513FC">
        <w:rPr>
          <w:rFonts w:eastAsia="標楷體" w:hint="eastAsia"/>
          <w:sz w:val="28"/>
        </w:rPr>
        <w:t>統計項目定義：</w:t>
      </w:r>
    </w:p>
    <w:p w:rsidR="00F010B8" w:rsidRDefault="00727279" w:rsidP="00C82469">
      <w:pPr>
        <w:numPr>
          <w:ilvl w:val="0"/>
          <w:numId w:val="23"/>
        </w:numPr>
        <w:spacing w:line="360" w:lineRule="exact"/>
        <w:ind w:left="1276" w:hanging="709"/>
        <w:jc w:val="both"/>
        <w:rPr>
          <w:rFonts w:ascii="標楷體" w:eastAsia="標楷體"/>
          <w:sz w:val="28"/>
        </w:rPr>
      </w:pPr>
      <w:r w:rsidRPr="00727279">
        <w:rPr>
          <w:rFonts w:ascii="標楷體" w:eastAsia="標楷體" w:hint="eastAsia"/>
          <w:sz w:val="28"/>
        </w:rPr>
        <w:t>筆數、面積：指土地所有權移轉他人經核定之筆數及土地面積</w:t>
      </w:r>
      <w:r w:rsidR="003023FC" w:rsidRPr="003023FC">
        <w:rPr>
          <w:rFonts w:ascii="標楷體" w:eastAsia="標楷體" w:hint="eastAsia"/>
          <w:sz w:val="28"/>
        </w:rPr>
        <w:t>。</w:t>
      </w:r>
    </w:p>
    <w:p w:rsidR="00230E48" w:rsidRDefault="00B21634" w:rsidP="00C82469">
      <w:pPr>
        <w:numPr>
          <w:ilvl w:val="0"/>
          <w:numId w:val="23"/>
        </w:numPr>
        <w:spacing w:line="360" w:lineRule="exact"/>
        <w:ind w:left="1276" w:hanging="709"/>
        <w:jc w:val="both"/>
        <w:rPr>
          <w:rFonts w:ascii="標楷體" w:eastAsia="標楷體"/>
          <w:sz w:val="28"/>
        </w:rPr>
      </w:pPr>
      <w:r w:rsidRPr="00B21634">
        <w:rPr>
          <w:rFonts w:ascii="標楷體" w:eastAsia="標楷體" w:hint="eastAsia"/>
          <w:sz w:val="28"/>
        </w:rPr>
        <w:t>土地漲價總數額：指移轉現值超過原規定地價或前次移轉時申報現值其超過之數額，計算公式如下：</w:t>
      </w:r>
    </w:p>
    <w:p w:rsidR="00B21634" w:rsidRPr="00C82469" w:rsidRDefault="00B21634" w:rsidP="00C82469">
      <w:pPr>
        <w:pStyle w:val="af"/>
        <w:spacing w:line="360" w:lineRule="exact"/>
        <w:ind w:leftChars="0" w:left="1276"/>
        <w:jc w:val="both"/>
        <w:rPr>
          <w:rFonts w:ascii="標楷體" w:eastAsia="標楷體"/>
        </w:rPr>
      </w:pPr>
      <w:r w:rsidRPr="00C82469">
        <w:rPr>
          <w:rFonts w:ascii="標楷體" w:eastAsia="標楷體" w:hint="eastAsia"/>
        </w:rPr>
        <w:t>土地漲價總數＝申報土地移轉現值－原規定地價或前次移轉時所申報之土地移轉現值×(台灣地區消費者物價總指數/100)－(改良土地費用+工程受益費+土地重劃負擔總費用+因土地使用變更而無償捐贈一定比率作為公共設施用地其捐贈時捐贈土地之公告現值總額)。</w:t>
      </w:r>
    </w:p>
    <w:p w:rsidR="00230E48" w:rsidRDefault="00727279" w:rsidP="00C82469">
      <w:pPr>
        <w:numPr>
          <w:ilvl w:val="0"/>
          <w:numId w:val="23"/>
        </w:numPr>
        <w:spacing w:line="360" w:lineRule="exact"/>
        <w:ind w:left="1276" w:hanging="709"/>
        <w:jc w:val="both"/>
        <w:rPr>
          <w:rFonts w:ascii="標楷體" w:eastAsia="標楷體"/>
          <w:sz w:val="28"/>
        </w:rPr>
      </w:pPr>
      <w:r w:rsidRPr="00727279">
        <w:rPr>
          <w:rFonts w:ascii="標楷體" w:eastAsia="標楷體" w:hint="eastAsia"/>
          <w:sz w:val="28"/>
        </w:rPr>
        <w:t>查定稅額：指稅捐稽徵機關查定土地漲價數額乘稅率減累進差額及長期減徵之應納稅額</w:t>
      </w:r>
      <w:r w:rsidR="00CF645A" w:rsidRPr="00CF645A">
        <w:rPr>
          <w:rFonts w:ascii="標楷體" w:eastAsia="標楷體" w:hint="eastAsia"/>
          <w:sz w:val="28"/>
        </w:rPr>
        <w:t>。</w:t>
      </w:r>
    </w:p>
    <w:p w:rsidR="00CF645A" w:rsidRDefault="00727279" w:rsidP="00C82469">
      <w:pPr>
        <w:numPr>
          <w:ilvl w:val="0"/>
          <w:numId w:val="23"/>
        </w:numPr>
        <w:spacing w:line="360" w:lineRule="exact"/>
        <w:ind w:left="1276" w:hanging="709"/>
        <w:jc w:val="both"/>
        <w:rPr>
          <w:rFonts w:ascii="標楷體" w:eastAsia="標楷體"/>
          <w:sz w:val="28"/>
        </w:rPr>
      </w:pPr>
      <w:r w:rsidRPr="00727279">
        <w:rPr>
          <w:rFonts w:ascii="標楷體" w:eastAsia="標楷體" w:hint="eastAsia"/>
          <w:sz w:val="28"/>
        </w:rPr>
        <w:t>應納稅額：</w:t>
      </w:r>
      <w:r w:rsidR="00B21634" w:rsidRPr="00B21634">
        <w:rPr>
          <w:rFonts w:ascii="標楷體" w:eastAsia="標楷體" w:hint="eastAsia"/>
          <w:sz w:val="28"/>
        </w:rPr>
        <w:t>為依據查定稅額扣除減徵或抵繳稅額後核定課徵土地增值稅額，為實際應徵數。</w:t>
      </w:r>
    </w:p>
    <w:p w:rsidR="004A5E5F"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＊統計單位：</w:t>
      </w:r>
      <w:r w:rsidR="008E70F0" w:rsidRPr="00A513FC">
        <w:rPr>
          <w:rFonts w:eastAsia="標楷體" w:hint="eastAsia"/>
          <w:sz w:val="28"/>
        </w:rPr>
        <w:t>筆、平方公尺、</w:t>
      </w:r>
      <w:r w:rsidRPr="00A513FC">
        <w:rPr>
          <w:rFonts w:eastAsia="標楷體" w:hint="eastAsia"/>
          <w:sz w:val="28"/>
        </w:rPr>
        <w:t>新台幣元。</w:t>
      </w:r>
    </w:p>
    <w:p w:rsidR="0005756D"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＊統計分類：</w:t>
      </w:r>
      <w:r w:rsidR="00B21634" w:rsidRPr="00B21634">
        <w:rPr>
          <w:rFonts w:eastAsia="標楷體" w:hint="eastAsia"/>
          <w:sz w:val="28"/>
        </w:rPr>
        <w:t>先按應稅地、免稅地分，應稅地項下按自用住宅用地、一般用地分，其中一般用地再按稅率分為</w:t>
      </w:r>
      <w:r w:rsidR="00B21634" w:rsidRPr="00B21634">
        <w:rPr>
          <w:rFonts w:eastAsia="標楷體" w:hint="eastAsia"/>
          <w:sz w:val="28"/>
        </w:rPr>
        <w:t>20%</w:t>
      </w:r>
      <w:r w:rsidR="00B21634" w:rsidRPr="00B21634">
        <w:rPr>
          <w:rFonts w:eastAsia="標楷體" w:hint="eastAsia"/>
          <w:sz w:val="28"/>
        </w:rPr>
        <w:t>、</w:t>
      </w:r>
      <w:r w:rsidR="00B21634" w:rsidRPr="00B21634">
        <w:rPr>
          <w:rFonts w:eastAsia="標楷體" w:hint="eastAsia"/>
          <w:sz w:val="28"/>
        </w:rPr>
        <w:t>30%</w:t>
      </w:r>
      <w:r w:rsidR="00B21634" w:rsidRPr="00B21634">
        <w:rPr>
          <w:rFonts w:eastAsia="標楷體" w:hint="eastAsia"/>
          <w:sz w:val="28"/>
        </w:rPr>
        <w:t>、</w:t>
      </w:r>
      <w:r w:rsidR="00B21634" w:rsidRPr="00B21634">
        <w:rPr>
          <w:rFonts w:eastAsia="標楷體" w:hint="eastAsia"/>
          <w:sz w:val="28"/>
        </w:rPr>
        <w:t>40%</w:t>
      </w:r>
      <w:r w:rsidR="00B21634" w:rsidRPr="00B21634">
        <w:rPr>
          <w:rFonts w:eastAsia="標楷體" w:hint="eastAsia"/>
          <w:sz w:val="28"/>
        </w:rPr>
        <w:t>、其他；免稅地項下按公有土地、私有土地無漲價數、私有土地依法免徵分。</w:t>
      </w:r>
    </w:p>
    <w:p w:rsidR="004A5E5F"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lastRenderedPageBreak/>
        <w:t>＊發布週期（指資料編製或產生之頻率，如月、季、年等）：按</w:t>
      </w:r>
      <w:r w:rsidR="00445F6B" w:rsidRPr="00A513FC">
        <w:rPr>
          <w:rFonts w:eastAsia="標楷體" w:hint="eastAsia"/>
          <w:sz w:val="28"/>
        </w:rPr>
        <w:t>月</w:t>
      </w:r>
      <w:r w:rsidRPr="00A513FC">
        <w:rPr>
          <w:rFonts w:eastAsia="標楷體" w:hint="eastAsia"/>
          <w:sz w:val="28"/>
        </w:rPr>
        <w:t>。</w:t>
      </w:r>
    </w:p>
    <w:p w:rsidR="004A5E5F"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＊時效（指統計標準時間至資料發布時間之間隔時間）：</w:t>
      </w:r>
      <w:r w:rsidR="001E209A" w:rsidRPr="008B121D">
        <w:rPr>
          <w:rFonts w:eastAsia="標楷體" w:hint="eastAsia"/>
          <w:sz w:val="28"/>
        </w:rPr>
        <w:t>每月終了後</w:t>
      </w:r>
      <w:r w:rsidR="001E209A" w:rsidRPr="008B121D">
        <w:rPr>
          <w:rFonts w:eastAsia="標楷體" w:hint="eastAsia"/>
          <w:sz w:val="28"/>
        </w:rPr>
        <w:t>4</w:t>
      </w:r>
      <w:r w:rsidR="001E209A" w:rsidRPr="008B121D">
        <w:rPr>
          <w:rFonts w:eastAsia="標楷體" w:hint="eastAsia"/>
          <w:sz w:val="28"/>
        </w:rPr>
        <w:t>個工作日再加計</w:t>
      </w:r>
      <w:r w:rsidR="00D0484C">
        <w:rPr>
          <w:rFonts w:eastAsia="標楷體" w:hint="eastAsia"/>
          <w:sz w:val="28"/>
        </w:rPr>
        <w:t>5</w:t>
      </w:r>
      <w:r w:rsidR="001E209A" w:rsidRPr="008B121D">
        <w:rPr>
          <w:rFonts w:eastAsia="標楷體" w:hint="eastAsia"/>
          <w:sz w:val="28"/>
        </w:rPr>
        <w:t>日（若逢假日則順延）。</w:t>
      </w:r>
    </w:p>
    <w:p w:rsidR="004A5E5F" w:rsidRPr="00A513FC"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＊資料變革：</w:t>
      </w:r>
      <w:r w:rsidR="00F25900" w:rsidRPr="001E209A">
        <w:rPr>
          <w:rFonts w:eastAsia="標楷體"/>
          <w:sz w:val="28"/>
        </w:rPr>
        <w:t>10</w:t>
      </w:r>
      <w:r w:rsidR="00461CD3" w:rsidRPr="001E209A">
        <w:rPr>
          <w:rFonts w:eastAsia="標楷體"/>
          <w:sz w:val="28"/>
        </w:rPr>
        <w:t>7</w:t>
      </w:r>
      <w:r w:rsidR="00F25900" w:rsidRPr="001E209A">
        <w:rPr>
          <w:rFonts w:eastAsia="標楷體"/>
          <w:sz w:val="28"/>
        </w:rPr>
        <w:t>.</w:t>
      </w:r>
      <w:r w:rsidR="00461CD3" w:rsidRPr="001E209A">
        <w:rPr>
          <w:rFonts w:eastAsia="標楷體"/>
          <w:sz w:val="28"/>
        </w:rPr>
        <w:t>01</w:t>
      </w:r>
      <w:r w:rsidR="00F25900" w:rsidRPr="001E209A">
        <w:rPr>
          <w:rFonts w:eastAsia="標楷體"/>
          <w:sz w:val="28"/>
        </w:rPr>
        <w:t>.</w:t>
      </w:r>
      <w:r w:rsidR="00461CD3" w:rsidRPr="001E209A">
        <w:rPr>
          <w:rFonts w:eastAsia="標楷體"/>
          <w:sz w:val="28"/>
        </w:rPr>
        <w:t>01</w:t>
      </w:r>
      <w:r w:rsidR="00F25900" w:rsidRPr="00A513FC">
        <w:rPr>
          <w:rFonts w:eastAsia="標楷體" w:hint="eastAsia"/>
          <w:sz w:val="28"/>
        </w:rPr>
        <w:t>公務統計報表增刪修。</w:t>
      </w:r>
      <w:r w:rsidR="00B21634" w:rsidRPr="00C6721B">
        <w:rPr>
          <w:rFonts w:eastAsia="標楷體"/>
          <w:sz w:val="28"/>
        </w:rPr>
        <w:t>1</w:t>
      </w:r>
      <w:r w:rsidR="00B21634" w:rsidRPr="00C6721B">
        <w:rPr>
          <w:rFonts w:eastAsia="標楷體" w:hint="eastAsia"/>
          <w:sz w:val="28"/>
        </w:rPr>
        <w:t>10.12</w:t>
      </w:r>
      <w:r w:rsidR="00C6721B" w:rsidRPr="00C6721B">
        <w:rPr>
          <w:rFonts w:eastAsia="標楷體" w:hint="eastAsia"/>
          <w:sz w:val="28"/>
        </w:rPr>
        <w:t>.28</w:t>
      </w:r>
      <w:r w:rsidR="00B21634" w:rsidRPr="00C6721B">
        <w:rPr>
          <w:rFonts w:eastAsia="標楷體" w:hint="eastAsia"/>
          <w:sz w:val="28"/>
        </w:rPr>
        <w:t>公務統計報表增刪修。</w:t>
      </w:r>
    </w:p>
    <w:p w:rsidR="004A5E5F" w:rsidRDefault="004A5E5F">
      <w:pPr>
        <w:spacing w:before="240" w:line="360" w:lineRule="exact"/>
        <w:ind w:left="616" w:hanging="616"/>
        <w:jc w:val="both"/>
        <w:rPr>
          <w:rFonts w:eastAsia="標楷體"/>
          <w:b/>
          <w:bCs/>
          <w:color w:val="0000FF"/>
          <w:sz w:val="28"/>
        </w:rPr>
      </w:pPr>
      <w:r>
        <w:rPr>
          <w:rFonts w:eastAsia="標楷體" w:hint="eastAsia"/>
          <w:b/>
          <w:bCs/>
          <w:color w:val="0000FF"/>
          <w:sz w:val="28"/>
        </w:rPr>
        <w:t>四、</w:t>
      </w:r>
      <w:r>
        <w:rPr>
          <w:rFonts w:ascii="標楷體" w:eastAsia="標楷體" w:hint="eastAsia"/>
          <w:b/>
          <w:bCs/>
          <w:color w:val="0000FF"/>
          <w:sz w:val="28"/>
        </w:rPr>
        <w:t>公開資料發布訊息</w:t>
      </w:r>
    </w:p>
    <w:p w:rsidR="004A5E5F" w:rsidRPr="00A513FC" w:rsidRDefault="00A513FC" w:rsidP="00A513FC">
      <w:pPr>
        <w:spacing w:line="360" w:lineRule="exact"/>
        <w:ind w:leftChars="123" w:left="567" w:hangingChars="97" w:hanging="272"/>
        <w:jc w:val="both"/>
        <w:rPr>
          <w:rFonts w:eastAsia="標楷體"/>
          <w:sz w:val="28"/>
        </w:rPr>
      </w:pPr>
      <w:r w:rsidRPr="00A513FC">
        <w:rPr>
          <w:rFonts w:eastAsia="標楷體" w:hint="eastAsia"/>
          <w:sz w:val="28"/>
        </w:rPr>
        <w:t>＊</w:t>
      </w:r>
      <w:r w:rsidR="004A5E5F" w:rsidRPr="00A513FC">
        <w:rPr>
          <w:rFonts w:eastAsia="標楷體" w:hint="eastAsia"/>
          <w:sz w:val="28"/>
        </w:rPr>
        <w:t>預告發布日期（含預告方式及週期）：</w:t>
      </w:r>
      <w:r w:rsidR="001E209A" w:rsidRPr="008B121D">
        <w:rPr>
          <w:rFonts w:eastAsia="標楷體" w:hint="eastAsia"/>
          <w:sz w:val="28"/>
        </w:rPr>
        <w:t>每月終了後</w:t>
      </w:r>
      <w:r w:rsidR="001E209A" w:rsidRPr="008B121D">
        <w:rPr>
          <w:rFonts w:eastAsia="標楷體" w:hint="eastAsia"/>
          <w:sz w:val="28"/>
        </w:rPr>
        <w:t>4</w:t>
      </w:r>
      <w:r w:rsidR="001E209A" w:rsidRPr="008B121D">
        <w:rPr>
          <w:rFonts w:eastAsia="標楷體" w:hint="eastAsia"/>
          <w:sz w:val="28"/>
        </w:rPr>
        <w:t>個工作日再加計</w:t>
      </w:r>
      <w:r w:rsidR="00D0484C">
        <w:rPr>
          <w:rFonts w:eastAsia="標楷體" w:hint="eastAsia"/>
          <w:sz w:val="28"/>
        </w:rPr>
        <w:t>5</w:t>
      </w:r>
      <w:bookmarkStart w:id="0" w:name="_GoBack"/>
      <w:bookmarkEnd w:id="0"/>
      <w:r w:rsidR="001E209A" w:rsidRPr="008B121D">
        <w:rPr>
          <w:rFonts w:eastAsia="標楷體" w:hint="eastAsia"/>
          <w:sz w:val="28"/>
        </w:rPr>
        <w:t>日（若逢假日則順延）以公務統計報表方式上載於嘉義市政府財政稅務局網站</w:t>
      </w:r>
      <w:r w:rsidR="001B4DAC" w:rsidRPr="00A513FC">
        <w:rPr>
          <w:rFonts w:eastAsia="標楷體" w:hint="eastAsia"/>
          <w:sz w:val="28"/>
        </w:rPr>
        <w:t>。</w:t>
      </w:r>
    </w:p>
    <w:p w:rsidR="004A5E5F" w:rsidRDefault="004A5E5F" w:rsidP="00A513FC">
      <w:pPr>
        <w:spacing w:line="360" w:lineRule="exact"/>
        <w:ind w:leftChars="123" w:left="567" w:hangingChars="97" w:hanging="272"/>
        <w:jc w:val="both"/>
        <w:rPr>
          <w:rFonts w:eastAsia="標楷體"/>
          <w:sz w:val="28"/>
        </w:rPr>
      </w:pPr>
      <w:r w:rsidRPr="00A513FC">
        <w:rPr>
          <w:rFonts w:eastAsia="標楷體" w:hint="eastAsia"/>
          <w:sz w:val="28"/>
        </w:rPr>
        <w:t>＊</w:t>
      </w:r>
      <w:r>
        <w:rPr>
          <w:rFonts w:eastAsia="標楷體" w:hint="eastAsia"/>
          <w:sz w:val="28"/>
        </w:rPr>
        <w:t>同步發送單位（說明資料發布時同步發送之單位或可同步查得該資料之網址）：</w:t>
      </w:r>
    </w:p>
    <w:p w:rsidR="004A5E5F" w:rsidRDefault="004A5E5F">
      <w:pPr>
        <w:spacing w:before="240" w:line="360" w:lineRule="exact"/>
        <w:ind w:left="616" w:hanging="616"/>
        <w:jc w:val="both"/>
        <w:rPr>
          <w:rFonts w:eastAsia="標楷體"/>
          <w:b/>
          <w:bCs/>
          <w:color w:val="0000FF"/>
          <w:sz w:val="28"/>
        </w:rPr>
      </w:pPr>
      <w:r>
        <w:rPr>
          <w:rFonts w:eastAsia="標楷體" w:hint="eastAsia"/>
          <w:b/>
          <w:bCs/>
          <w:color w:val="0000FF"/>
          <w:sz w:val="28"/>
        </w:rPr>
        <w:t>五、資料品質</w:t>
      </w:r>
    </w:p>
    <w:p w:rsidR="004A5E5F" w:rsidRDefault="004A5E5F" w:rsidP="00A513FC">
      <w:pPr>
        <w:spacing w:line="360" w:lineRule="exact"/>
        <w:ind w:leftChars="123" w:left="567" w:hangingChars="97" w:hanging="272"/>
        <w:jc w:val="both"/>
        <w:rPr>
          <w:rFonts w:eastAsia="標楷體"/>
          <w:sz w:val="28"/>
        </w:rPr>
      </w:pPr>
      <w:r>
        <w:rPr>
          <w:rFonts w:eastAsia="標楷體" w:hint="eastAsia"/>
          <w:sz w:val="28"/>
        </w:rPr>
        <w:t>＊統計指標編製方法與資料來源說明：</w:t>
      </w:r>
      <w:r w:rsidR="000610FB" w:rsidRPr="000610FB">
        <w:rPr>
          <w:rFonts w:eastAsia="標楷體" w:hint="eastAsia"/>
          <w:sz w:val="28"/>
        </w:rPr>
        <w:t>依表報代號</w:t>
      </w:r>
      <w:r w:rsidR="000610FB" w:rsidRPr="000610FB">
        <w:rPr>
          <w:rFonts w:eastAsia="標楷體" w:hint="eastAsia"/>
          <w:sz w:val="28"/>
        </w:rPr>
        <w:t>AVM6</w:t>
      </w:r>
      <w:r w:rsidR="0044287B">
        <w:rPr>
          <w:rFonts w:eastAsia="標楷體" w:hint="eastAsia"/>
          <w:sz w:val="28"/>
        </w:rPr>
        <w:t>2</w:t>
      </w:r>
      <w:r w:rsidR="000610FB" w:rsidRPr="000610FB">
        <w:rPr>
          <w:rFonts w:eastAsia="標楷體" w:hint="eastAsia"/>
          <w:sz w:val="28"/>
        </w:rPr>
        <w:t>1L</w:t>
      </w:r>
      <w:r w:rsidR="000610FB" w:rsidRPr="000610FB">
        <w:rPr>
          <w:rFonts w:eastAsia="標楷體" w:hint="eastAsia"/>
          <w:sz w:val="28"/>
        </w:rPr>
        <w:t>編製</w:t>
      </w:r>
      <w:r w:rsidR="00DA4CD6" w:rsidRPr="00DA4CD6">
        <w:rPr>
          <w:rFonts w:eastAsia="標楷體" w:hint="eastAsia"/>
          <w:sz w:val="28"/>
        </w:rPr>
        <w:t>。</w:t>
      </w:r>
    </w:p>
    <w:p w:rsidR="004A5E5F" w:rsidRPr="00A513FC" w:rsidRDefault="004A5E5F" w:rsidP="00A513FC">
      <w:pPr>
        <w:spacing w:line="360" w:lineRule="exact"/>
        <w:ind w:leftChars="123" w:left="567" w:hangingChars="97" w:hanging="272"/>
        <w:jc w:val="both"/>
        <w:rPr>
          <w:rFonts w:eastAsia="標楷體"/>
          <w:sz w:val="28"/>
        </w:rPr>
      </w:pPr>
      <w:r>
        <w:rPr>
          <w:rFonts w:eastAsia="標楷體" w:hint="eastAsia"/>
          <w:sz w:val="28"/>
        </w:rPr>
        <w:t>＊統計資料交叉查核及確保資料合理性之機制（說</w:t>
      </w:r>
      <w:r w:rsidRPr="00A513FC">
        <w:rPr>
          <w:rFonts w:eastAsia="標楷體" w:hint="eastAsia"/>
          <w:sz w:val="28"/>
        </w:rPr>
        <w:t>明各項資料之相互關係及不同資料來源之相關統計差異性</w:t>
      </w:r>
      <w:r>
        <w:rPr>
          <w:rFonts w:eastAsia="標楷體" w:hint="eastAsia"/>
          <w:sz w:val="28"/>
        </w:rPr>
        <w:t>）：均採電腦作業且有查核機制，以確保資料準確性。</w:t>
      </w:r>
    </w:p>
    <w:p w:rsidR="004A5E5F" w:rsidRDefault="004A5E5F">
      <w:pPr>
        <w:spacing w:before="240" w:line="360" w:lineRule="exact"/>
        <w:ind w:left="504" w:hanging="504"/>
        <w:jc w:val="both"/>
        <w:rPr>
          <w:rFonts w:eastAsia="標楷體"/>
          <w:sz w:val="28"/>
        </w:rPr>
      </w:pPr>
      <w:r>
        <w:rPr>
          <w:rFonts w:eastAsia="標楷體" w:hint="eastAsia"/>
          <w:b/>
          <w:bCs/>
          <w:color w:val="0000FF"/>
          <w:sz w:val="28"/>
        </w:rPr>
        <w:t>六、</w:t>
      </w:r>
      <w:r>
        <w:rPr>
          <w:rFonts w:ascii="標楷體" w:eastAsia="標楷體" w:hint="eastAsia"/>
          <w:b/>
          <w:bCs/>
          <w:color w:val="0000FF"/>
          <w:sz w:val="28"/>
        </w:rPr>
        <w:t>須注意及</w:t>
      </w:r>
      <w:r>
        <w:rPr>
          <w:rFonts w:eastAsia="標楷體" w:hint="eastAsia"/>
          <w:b/>
          <w:bCs/>
          <w:color w:val="0000FF"/>
          <w:sz w:val="28"/>
        </w:rPr>
        <w:t>預定改變之事項</w:t>
      </w:r>
      <w:r>
        <w:rPr>
          <w:rFonts w:eastAsia="標楷體" w:hint="eastAsia"/>
          <w:sz w:val="28"/>
        </w:rPr>
        <w:t>（說</w:t>
      </w:r>
      <w:r>
        <w:rPr>
          <w:rFonts w:ascii="標楷體" w:eastAsia="標楷體" w:hint="eastAsia"/>
          <w:sz w:val="28"/>
        </w:rPr>
        <w:t>明</w:t>
      </w:r>
      <w:r>
        <w:rPr>
          <w:rFonts w:eastAsia="標楷體" w:hint="eastAsia"/>
          <w:sz w:val="28"/>
        </w:rPr>
        <w:t>預定修正之資料、定義、統計方法等及其修正原因）：無。</w:t>
      </w:r>
    </w:p>
    <w:p w:rsidR="00B323F5" w:rsidRDefault="00B323F5">
      <w:pPr>
        <w:spacing w:before="240" w:line="360" w:lineRule="exact"/>
        <w:ind w:left="504" w:hanging="504"/>
        <w:jc w:val="both"/>
      </w:pPr>
      <w:r>
        <w:rPr>
          <w:rFonts w:eastAsia="標楷體" w:hint="eastAsia"/>
          <w:b/>
          <w:bCs/>
          <w:color w:val="0000FF"/>
          <w:sz w:val="28"/>
        </w:rPr>
        <w:t>七、其他事項</w:t>
      </w:r>
      <w:r>
        <w:rPr>
          <w:rFonts w:eastAsia="標楷體" w:hint="eastAsia"/>
          <w:sz w:val="28"/>
        </w:rPr>
        <w:t>：無。</w:t>
      </w:r>
    </w:p>
    <w:p w:rsidR="004A5E5F" w:rsidRDefault="004A5E5F">
      <w:pPr>
        <w:spacing w:line="360" w:lineRule="exact"/>
        <w:jc w:val="both"/>
      </w:pPr>
    </w:p>
    <w:sectPr w:rsidR="004A5E5F">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888" w:rsidRDefault="00FF7888" w:rsidP="0010111E">
      <w:r>
        <w:separator/>
      </w:r>
    </w:p>
  </w:endnote>
  <w:endnote w:type="continuationSeparator" w:id="0">
    <w:p w:rsidR="00FF7888" w:rsidRDefault="00FF7888" w:rsidP="001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888" w:rsidRDefault="00FF7888" w:rsidP="0010111E">
      <w:r>
        <w:separator/>
      </w:r>
    </w:p>
  </w:footnote>
  <w:footnote w:type="continuationSeparator" w:id="0">
    <w:p w:rsidR="00FF7888" w:rsidRDefault="00FF7888" w:rsidP="0010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15:restartNumberingAfterBreak="0">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15:restartNumberingAfterBreak="0">
    <w:nsid w:val="0F4D3B7B"/>
    <w:multiLevelType w:val="hybridMultilevel"/>
    <w:tmpl w:val="2988CD6A"/>
    <w:lvl w:ilvl="0" w:tplc="010A1A4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161D6"/>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91B4B83"/>
    <w:multiLevelType w:val="hybridMultilevel"/>
    <w:tmpl w:val="6EF04C0E"/>
    <w:lvl w:ilvl="0" w:tplc="A55EB53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6" w15:restartNumberingAfterBreak="0">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7" w15:restartNumberingAfterBreak="0">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8" w15:restartNumberingAfterBreak="0">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9" w15:restartNumberingAfterBreak="0">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10" w15:restartNumberingAfterBreak="0">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3A697BD5"/>
    <w:multiLevelType w:val="hybridMultilevel"/>
    <w:tmpl w:val="F5B6D4B8"/>
    <w:lvl w:ilvl="0" w:tplc="00D426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3"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5"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6" w15:restartNumberingAfterBreak="0">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7" w15:restartNumberingAfterBreak="0">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8" w15:restartNumberingAfterBreak="0">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15:restartNumberingAfterBreak="0">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15:restartNumberingAfterBreak="0">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1" w15:restartNumberingAfterBreak="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2" w15:restartNumberingAfterBreak="0">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7"/>
  </w:num>
  <w:num w:numId="2">
    <w:abstractNumId w:val="19"/>
  </w:num>
  <w:num w:numId="3">
    <w:abstractNumId w:val="0"/>
  </w:num>
  <w:num w:numId="4">
    <w:abstractNumId w:val="20"/>
  </w:num>
  <w:num w:numId="5">
    <w:abstractNumId w:val="12"/>
  </w:num>
  <w:num w:numId="6">
    <w:abstractNumId w:val="16"/>
  </w:num>
  <w:num w:numId="7">
    <w:abstractNumId w:val="18"/>
  </w:num>
  <w:num w:numId="8">
    <w:abstractNumId w:val="22"/>
  </w:num>
  <w:num w:numId="9">
    <w:abstractNumId w:val="9"/>
  </w:num>
  <w:num w:numId="10">
    <w:abstractNumId w:val="21"/>
  </w:num>
  <w:num w:numId="11">
    <w:abstractNumId w:val="3"/>
  </w:num>
  <w:num w:numId="12">
    <w:abstractNumId w:val="1"/>
  </w:num>
  <w:num w:numId="13">
    <w:abstractNumId w:val="5"/>
  </w:num>
  <w:num w:numId="14">
    <w:abstractNumId w:val="7"/>
  </w:num>
  <w:num w:numId="15">
    <w:abstractNumId w:val="8"/>
  </w:num>
  <w:num w:numId="16">
    <w:abstractNumId w:val="6"/>
  </w:num>
  <w:num w:numId="17">
    <w:abstractNumId w:val="14"/>
  </w:num>
  <w:num w:numId="18">
    <w:abstractNumId w:val="15"/>
  </w:num>
  <w:num w:numId="19">
    <w:abstractNumId w:val="10"/>
  </w:num>
  <w:num w:numId="20">
    <w:abstractNumId w:val="13"/>
  </w:num>
  <w:num w:numId="21">
    <w:abstractNumId w:val="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97"/>
    <w:rsid w:val="0005756D"/>
    <w:rsid w:val="000610FB"/>
    <w:rsid w:val="00096F6E"/>
    <w:rsid w:val="000C1DED"/>
    <w:rsid w:val="0010111E"/>
    <w:rsid w:val="00106CC3"/>
    <w:rsid w:val="00114F21"/>
    <w:rsid w:val="001267A9"/>
    <w:rsid w:val="00151119"/>
    <w:rsid w:val="00180593"/>
    <w:rsid w:val="001B4DAC"/>
    <w:rsid w:val="001C670A"/>
    <w:rsid w:val="001E209A"/>
    <w:rsid w:val="001E2EE3"/>
    <w:rsid w:val="001E4267"/>
    <w:rsid w:val="00230E48"/>
    <w:rsid w:val="00281CD6"/>
    <w:rsid w:val="002C2F94"/>
    <w:rsid w:val="003023FC"/>
    <w:rsid w:val="00320DF8"/>
    <w:rsid w:val="003C51DC"/>
    <w:rsid w:val="003F2E46"/>
    <w:rsid w:val="0044287B"/>
    <w:rsid w:val="00445F6B"/>
    <w:rsid w:val="00461CD3"/>
    <w:rsid w:val="00477F6A"/>
    <w:rsid w:val="00483547"/>
    <w:rsid w:val="0049218C"/>
    <w:rsid w:val="004A5E5F"/>
    <w:rsid w:val="004A723C"/>
    <w:rsid w:val="004E7EBC"/>
    <w:rsid w:val="00533F60"/>
    <w:rsid w:val="00545C79"/>
    <w:rsid w:val="00666E51"/>
    <w:rsid w:val="00697C95"/>
    <w:rsid w:val="006E20A7"/>
    <w:rsid w:val="006E6AF8"/>
    <w:rsid w:val="00727279"/>
    <w:rsid w:val="007621CE"/>
    <w:rsid w:val="00763F3F"/>
    <w:rsid w:val="007966D9"/>
    <w:rsid w:val="007A4B75"/>
    <w:rsid w:val="00833CD3"/>
    <w:rsid w:val="008A4070"/>
    <w:rsid w:val="008D17AB"/>
    <w:rsid w:val="008E70F0"/>
    <w:rsid w:val="008E7DED"/>
    <w:rsid w:val="00A05414"/>
    <w:rsid w:val="00A10EE0"/>
    <w:rsid w:val="00A32394"/>
    <w:rsid w:val="00A513FC"/>
    <w:rsid w:val="00A73662"/>
    <w:rsid w:val="00B21634"/>
    <w:rsid w:val="00B323F5"/>
    <w:rsid w:val="00B42881"/>
    <w:rsid w:val="00BB61FA"/>
    <w:rsid w:val="00BE3946"/>
    <w:rsid w:val="00BE59E7"/>
    <w:rsid w:val="00C6721B"/>
    <w:rsid w:val="00C82469"/>
    <w:rsid w:val="00C832EC"/>
    <w:rsid w:val="00C977AA"/>
    <w:rsid w:val="00CC2DFE"/>
    <w:rsid w:val="00CF645A"/>
    <w:rsid w:val="00D0484C"/>
    <w:rsid w:val="00D34C97"/>
    <w:rsid w:val="00D85809"/>
    <w:rsid w:val="00D869EB"/>
    <w:rsid w:val="00DA4CD6"/>
    <w:rsid w:val="00DB4C7D"/>
    <w:rsid w:val="00E20071"/>
    <w:rsid w:val="00E22F4C"/>
    <w:rsid w:val="00EB5169"/>
    <w:rsid w:val="00F010B8"/>
    <w:rsid w:val="00F25900"/>
    <w:rsid w:val="00F33A78"/>
    <w:rsid w:val="00F37666"/>
    <w:rsid w:val="00FF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717E74-70A3-46D7-975D-36FDB170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autoSpaceDN w:val="0"/>
      <w:ind w:left="607" w:hanging="204"/>
      <w:jc w:val="both"/>
    </w:pPr>
    <w:rPr>
      <w:rFonts w:eastAsia="細明體"/>
      <w:sz w:val="20"/>
    </w:rPr>
  </w:style>
  <w:style w:type="paragraph" w:customStyle="1" w:styleId="a4">
    <w:name w:val="一"/>
    <w:basedOn w:val="a"/>
    <w:pPr>
      <w:autoSpaceDN w:val="0"/>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sz w:val="28"/>
    </w:rPr>
  </w:style>
  <w:style w:type="paragraph" w:customStyle="1" w:styleId="a6">
    <w:name w:val="文一"/>
    <w:basedOn w:val="a"/>
    <w:pPr>
      <w:autoSpaceDN w:val="0"/>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rsid w:val="00483547"/>
    <w:rPr>
      <w:strike w:val="0"/>
      <w:dstrike w:val="0"/>
      <w:color w:val="2525F9"/>
      <w:spacing w:val="15"/>
      <w:u w:val="none"/>
      <w:effect w:val="none"/>
    </w:rPr>
  </w:style>
  <w:style w:type="paragraph" w:styleId="a9">
    <w:name w:val="header"/>
    <w:basedOn w:val="a"/>
    <w:link w:val="aa"/>
    <w:uiPriority w:val="99"/>
    <w:unhideWhenUsed/>
    <w:rsid w:val="0010111E"/>
    <w:pPr>
      <w:tabs>
        <w:tab w:val="center" w:pos="4153"/>
        <w:tab w:val="right" w:pos="8306"/>
      </w:tabs>
      <w:snapToGrid w:val="0"/>
    </w:pPr>
    <w:rPr>
      <w:sz w:val="20"/>
    </w:rPr>
  </w:style>
  <w:style w:type="character" w:customStyle="1" w:styleId="aa">
    <w:name w:val="頁首 字元"/>
    <w:link w:val="a9"/>
    <w:uiPriority w:val="99"/>
    <w:rsid w:val="0010111E"/>
    <w:rPr>
      <w:kern w:val="2"/>
    </w:rPr>
  </w:style>
  <w:style w:type="paragraph" w:styleId="ab">
    <w:name w:val="footer"/>
    <w:basedOn w:val="a"/>
    <w:link w:val="ac"/>
    <w:uiPriority w:val="99"/>
    <w:unhideWhenUsed/>
    <w:rsid w:val="0010111E"/>
    <w:pPr>
      <w:tabs>
        <w:tab w:val="center" w:pos="4153"/>
        <w:tab w:val="right" w:pos="8306"/>
      </w:tabs>
      <w:snapToGrid w:val="0"/>
    </w:pPr>
    <w:rPr>
      <w:sz w:val="20"/>
    </w:rPr>
  </w:style>
  <w:style w:type="character" w:customStyle="1" w:styleId="ac">
    <w:name w:val="頁尾 字元"/>
    <w:link w:val="ab"/>
    <w:uiPriority w:val="99"/>
    <w:rsid w:val="0010111E"/>
    <w:rPr>
      <w:kern w:val="2"/>
    </w:rPr>
  </w:style>
  <w:style w:type="paragraph" w:styleId="ad">
    <w:name w:val="Balloon Text"/>
    <w:basedOn w:val="a"/>
    <w:link w:val="ae"/>
    <w:uiPriority w:val="99"/>
    <w:semiHidden/>
    <w:unhideWhenUsed/>
    <w:rsid w:val="00C977AA"/>
    <w:rPr>
      <w:rFonts w:ascii="Cambria" w:hAnsi="Cambria"/>
      <w:sz w:val="18"/>
      <w:szCs w:val="18"/>
    </w:rPr>
  </w:style>
  <w:style w:type="character" w:customStyle="1" w:styleId="ae">
    <w:name w:val="註解方塊文字 字元"/>
    <w:link w:val="ad"/>
    <w:uiPriority w:val="99"/>
    <w:semiHidden/>
    <w:rsid w:val="00C977AA"/>
    <w:rPr>
      <w:rFonts w:ascii="Cambria" w:eastAsia="新細明體" w:hAnsi="Cambria" w:cs="Times New Roman"/>
      <w:kern w:val="2"/>
      <w:sz w:val="18"/>
      <w:szCs w:val="18"/>
    </w:rPr>
  </w:style>
  <w:style w:type="paragraph" w:styleId="af">
    <w:name w:val="List Paragraph"/>
    <w:basedOn w:val="a"/>
    <w:uiPriority w:val="34"/>
    <w:qFormat/>
    <w:rsid w:val="00C824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資料背景說明</dc:title>
  <dc:subject/>
  <dc:creator>行政院主計處</dc:creator>
  <cp:keywords/>
  <cp:lastModifiedBy>黃佳婷</cp:lastModifiedBy>
  <cp:revision>7</cp:revision>
  <cp:lastPrinted>2021-12-28T06:37:00Z</cp:lastPrinted>
  <dcterms:created xsi:type="dcterms:W3CDTF">2021-12-22T07:50:00Z</dcterms:created>
  <dcterms:modified xsi:type="dcterms:W3CDTF">2021-12-28T07:21:00Z</dcterms:modified>
</cp:coreProperties>
</file>